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May 14 15:20:13 2018 -0700</w:t>
      </w:r>
    </w:p>
    <w:p>
      <w:pPr>
        <w:pStyle w:val="Heading1"/>
      </w:pPr>
      <w:bookmarkStart w:id="30" w:name="abstract"/>
      <w:r>
        <w:t xml:space="preserve">Abstract</w:t>
      </w:r>
      <w:bookmarkEnd w:id="30"/>
    </w:p>
    <w:p>
      <w:pPr>
        <w:pStyle w:val="FirstParagraph"/>
      </w:pPr>
      <w:r>
        <w:t xml:space="preserve">In highly developed areas, many streams may fail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predicts ranges of likely scores for a macroinvertebrate-based bioasssessment index within landscape constraints to prioritize management actions. The model provides a context for what is likely to be observed at a given site independent of an actual bioassessment score. With this approach, sites can be described as over- or under-scoring relative to an expectation that is typical for the observed level of landscape alteration. To demonstrate the utility of landscape models, we developed a visualization tool, the Stream Classification and Priority Explorer (SCAPE), that compares observed bioassessment scores with modelled expectations and can rapidly identify reaches that are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estimated to be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costly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under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describe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bioassessment index scores are likely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biological condition that is better than expected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A diverse group of stakeholders from local municipalities, water districts, water quality regulatory agencies, consulting groups, and non-government organizations have shared interests in managing aquatic resources in the watershed.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management.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2</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(Table</w:t>
      </w:r>
      <w:r>
        <w:t xml:space="preserve"> </w:t>
      </w:r>
      <w:r>
        <w:t xml:space="preserve">1</w:t>
      </w:r>
      <w:r>
        <w:t xml:space="preserve">).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2</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2</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any proposed development and/or projects;</w:t>
      </w:r>
    </w:p>
    <w:p>
      <w:pPr>
        <w:pStyle w:val="Compact"/>
        <w:numPr>
          <w:numId w:val="1001"/>
          <w:ilvl w:val="0"/>
        </w:numPr>
      </w:pPr>
      <w:r>
        <w:t xml:space="preserve">Restore: Targeted action for causal assessment and/or restoration activity.</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reach was excluded from teh NHD Plus dataset (typically, small headwater streams). The former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3</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5</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5</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certain range of expected scores from the 5th to the 95th percentile of the model predictions, only three sites were under-scoring (two likely unconstrained and one likely constrained) and two sites were over-scoring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6</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managing biological impairments under state or federal water quality mandates. The landscape models could be used to evaluate the list of sites that are not meeting biological objectives by identifying locations where constraints may limit options for restoration.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landscape-constraints-can-be-described-using-biological-endpoints"/>
      <w:r>
        <w:t xml:space="preserve">Landscape constraints can be described using biological endpoints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An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Physical habitat can be extremely limited in engineered channels and our models identified many of these locations in our case study. However, these channels were identified as constrained based on land use only. Constrained channels not in urban landscapes were also identified by the model, as for many streams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 ().</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by discussion among the stakeholders that represented different interests (i.e., regulators, dischargers, consultants,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such that the recommended actions were defined through iterative discussion by the group. This approach ensured that stakeholders were generally in agreement with the final product and, therefore,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More comprehensive assessments at individual sites are needed to diagnose the immediate causes of impairment from channel modification.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2)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2</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Median prediction is above threshold</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Median prediction is below threshold</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2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2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3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3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26"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1"/>
    <w:bookmarkStart w:id="7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2">
        <w:r>
          <w:rPr>
            <w:rStyle w:val="Hyperlink"/>
          </w:rPr>
          <w:t xml:space="preserve">https://doi.org/10.1111/j.1526-100X.2007.00285.x</w:t>
        </w:r>
      </w:hyperlink>
      <w:r>
        <w:t xml:space="preserve">.</w:t>
      </w:r>
    </w:p>
    <w:bookmarkEnd w:id="73"/>
    <w:bookmarkStart w:id="7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4">
        <w:r>
          <w:rPr>
            <w:rStyle w:val="Hyperlink"/>
          </w:rPr>
          <w:t xml:space="preserve">https://doi.org/10.1007/s10661-008-0256-z</w:t>
        </w:r>
      </w:hyperlink>
      <w:r>
        <w:t xml:space="preserve">.</w:t>
      </w:r>
    </w:p>
    <w:bookmarkEnd w:id="75"/>
    <w:bookmarkStart w:id="7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6">
        <w:r>
          <w:rPr>
            <w:rStyle w:val="Hyperlink"/>
          </w:rPr>
          <w:t xml:space="preserve">https://doi.org/10.1016/j.ecolind.2013.07.006</w:t>
        </w:r>
      </w:hyperlink>
      <w:r>
        <w:t xml:space="preserve">.</w:t>
      </w:r>
    </w:p>
    <w:bookmarkEnd w:id="77"/>
    <w:bookmarkStart w:id="7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8">
        <w:r>
          <w:rPr>
            <w:rStyle w:val="Hyperlink"/>
          </w:rPr>
          <w:t xml:space="preserve">https://doi.org/10.1111/j.1365-2427.2011.02696.x</w:t>
        </w:r>
      </w:hyperlink>
      <w:r>
        <w:t xml:space="preserve">.</w:t>
      </w:r>
    </w:p>
    <w:bookmarkEnd w:id="79"/>
    <w:bookmarkStart w:id="8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0">
        <w:r>
          <w:rPr>
            <w:rStyle w:val="Hyperlink"/>
          </w:rPr>
          <w:t xml:space="preserve">https://doi.org/10.1002/etc.2059</w:t>
        </w:r>
      </w:hyperlink>
      <w:r>
        <w:t xml:space="preserve">.</w:t>
      </w:r>
    </w:p>
    <w:bookmarkEnd w:id="81"/>
    <w:bookmarkStart w:id="8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2">
        <w:r>
          <w:rPr>
            <w:rStyle w:val="Hyperlink"/>
          </w:rPr>
          <w:t xml:space="preserve">https://doi.org/10.1111/j.1752-1688.2000.tb05717.x</w:t>
        </w:r>
      </w:hyperlink>
      <w:r>
        <w:t xml:space="preserve">.</w:t>
      </w:r>
    </w:p>
    <w:bookmarkEnd w:id="83"/>
    <w:bookmarkStart w:id="84"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4"/>
    <w:bookmarkStart w:id="86"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5">
        <w:r>
          <w:rPr>
            <w:rStyle w:val="Hyperlink"/>
          </w:rPr>
          <w:t xml:space="preserve">https://doi.org/10.1002/eap.1617</w:t>
        </w:r>
      </w:hyperlink>
      <w:r>
        <w:t xml:space="preserve">.</w:t>
      </w:r>
    </w:p>
    <w:bookmarkEnd w:id="86"/>
    <w:bookmarkStart w:id="8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7">
        <w:r>
          <w:rPr>
            <w:rStyle w:val="Hyperlink"/>
          </w:rPr>
          <w:t xml:space="preserve">https://doi.org/10.1111/1752-1688.12372</w:t>
        </w:r>
      </w:hyperlink>
      <w:r>
        <w:t xml:space="preserve">.</w:t>
      </w:r>
    </w:p>
    <w:bookmarkEnd w:id="88"/>
    <w:bookmarkStart w:id="90"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9">
        <w:r>
          <w:rPr>
            <w:rStyle w:val="Hyperlink"/>
          </w:rPr>
          <w:t xml:space="preserve">https://doi.org/10.1371/journal.pone.0130710</w:t>
        </w:r>
      </w:hyperlink>
      <w:r>
        <w:t xml:space="preserve">.</w:t>
      </w:r>
    </w:p>
    <w:bookmarkEnd w:id="90"/>
    <w:bookmarkStart w:id="91"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91"/>
    <w:bookmarkStart w:id="9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2">
        <w:r>
          <w:rPr>
            <w:rStyle w:val="Hyperlink"/>
          </w:rPr>
          <w:t xml:space="preserve">https://doi.org/10.1111/j.1752-1688.2011.00635.x</w:t>
        </w:r>
      </w:hyperlink>
      <w:r>
        <w:t xml:space="preserve">.</w:t>
      </w:r>
    </w:p>
    <w:bookmarkEnd w:id="93"/>
    <w:bookmarkStart w:id="95"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4">
        <w:r>
          <w:rPr>
            <w:rStyle w:val="Hyperlink"/>
          </w:rPr>
          <w:t xml:space="preserve">https://doi.org/10.1016/j.scitotenv.2015.07.083</w:t>
        </w:r>
      </w:hyperlink>
      <w:r>
        <w:t xml:space="preserve">.</w:t>
      </w:r>
    </w:p>
    <w:bookmarkEnd w:id="95"/>
    <w:bookmarkStart w:id="97"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6">
        <w:r>
          <w:rPr>
            <w:rStyle w:val="Hyperlink"/>
          </w:rPr>
          <w:t xml:space="preserve">https://doi.org/10.1007%2Fs00267-008-9151-1</w:t>
        </w:r>
      </w:hyperlink>
      <w:r>
        <w:t xml:space="preserve">.</w:t>
      </w:r>
    </w:p>
    <w:bookmarkEnd w:id="97"/>
    <w:bookmarkStart w:id="98"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8"/>
    <w:bookmarkStart w:id="9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99"/>
    <w:bookmarkStart w:id="100"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00"/>
    <w:bookmarkStart w:id="102"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01">
        <w:r>
          <w:rPr>
            <w:rStyle w:val="Hyperlink"/>
          </w:rPr>
          <w:t xml:space="preserve">https://CRAN.R-project.org/package=quantregForest</w:t>
        </w:r>
      </w:hyperlink>
      <w:r>
        <w:t xml:space="preserve">.</w:t>
      </w:r>
    </w:p>
    <w:bookmarkEnd w:id="102"/>
    <w:bookmarkStart w:id="103"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3"/>
    <w:bookmarkStart w:id="105"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04">
        <w:r>
          <w:rPr>
            <w:rStyle w:val="Hyperlink"/>
          </w:rPr>
          <w:t xml:space="preserve">https://doi.org/10.1016/j.watres.2004.09.002</w:t>
        </w:r>
      </w:hyperlink>
      <w:r>
        <w:t xml:space="preserve">.</w:t>
      </w:r>
    </w:p>
    <w:bookmarkEnd w:id="105"/>
    <w:bookmarkStart w:id="106"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06"/>
    <w:bookmarkStart w:id="10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07"/>
    <w:bookmarkStart w:id="109"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08">
        <w:r>
          <w:rPr>
            <w:rStyle w:val="Hyperlink"/>
          </w:rPr>
          <w:t xml:space="preserve">https://doi.org/10.1890/11-0077.1</w:t>
        </w:r>
      </w:hyperlink>
      <w:r>
        <w:t xml:space="preserve">.</w:t>
      </w:r>
    </w:p>
    <w:bookmarkEnd w:id="109"/>
    <w:bookmarkStart w:id="110"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10"/>
    <w:bookmarkStart w:id="112"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1">
        <w:r>
          <w:rPr>
            <w:rStyle w:val="Hyperlink"/>
          </w:rPr>
          <w:t xml:space="preserve">https://doi.org/10.1111/gec3.12039</w:t>
        </w:r>
      </w:hyperlink>
      <w:r>
        <w:t xml:space="preserve">.</w:t>
      </w:r>
    </w:p>
    <w:bookmarkEnd w:id="112"/>
    <w:bookmarkStart w:id="114"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3">
        <w:r>
          <w:rPr>
            <w:rStyle w:val="Hyperlink"/>
          </w:rPr>
          <w:t xml:space="preserve">https://doi.org/10.1007/s10661-010-1385-8</w:t>
        </w:r>
      </w:hyperlink>
      <w:r>
        <w:t xml:space="preserve">.</w:t>
      </w:r>
    </w:p>
    <w:bookmarkEnd w:id="114"/>
    <w:bookmarkStart w:id="116"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5">
        <w:r>
          <w:rPr>
            <w:rStyle w:val="Hyperlink"/>
          </w:rPr>
          <w:t xml:space="preserve">https://doi.org/10.1046/j.1365-2427.2001.00758.x</w:t>
        </w:r>
      </w:hyperlink>
      <w:r>
        <w:t xml:space="preserve">.</w:t>
      </w:r>
    </w:p>
    <w:bookmarkEnd w:id="116"/>
    <w:bookmarkStart w:id="118"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17">
        <w:r>
          <w:rPr>
            <w:rStyle w:val="Hyperlink"/>
          </w:rPr>
          <w:t xml:space="preserve">https://doi.org/10.1111/j.1365-2664.2008.01548.x</w:t>
        </w:r>
      </w:hyperlink>
      <w:r>
        <w:t xml:space="preserve">.</w:t>
      </w:r>
    </w:p>
    <w:bookmarkEnd w:id="118"/>
    <w:bookmarkStart w:id="119" w:name="ref-USEPA16"/>
    <w:p>
      <w:pPr>
        <w:pStyle w:val="Bibliography"/>
      </w:pPr>
      <w:r>
        <w:t xml:space="preserve">USEPA (US Environmental Protection Agency). 2016. “National Rivers and Streams Assessment 2008-2009: A Collaborative Survey.” EPA-841-R-16-007. Washington, DC.</w:t>
      </w:r>
    </w:p>
    <w:bookmarkEnd w:id="119"/>
    <w:bookmarkStart w:id="120" w:name="ref-USGS99"/>
    <w:p>
      <w:pPr>
        <w:pStyle w:val="Bibliography"/>
      </w:pPr>
      <w:r>
        <w:t xml:space="preserve">USGS (US Geological Survey). 1999. “The quality of our nation’s waters: nutrients and pesticides.” Reston, Virginia.</w:t>
      </w:r>
    </w:p>
    <w:bookmarkEnd w:id="120"/>
    <w:bookmarkStart w:id="121" w:name="ref-USGS14"/>
    <w:p>
      <w:pPr>
        <w:pStyle w:val="Bibliography"/>
      </w:pPr>
      <w:r>
        <w:t xml:space="preserve">———. 2014. “National Hydrography Dataset available on the World Wide Web.”</w:t>
      </w:r>
    </w:p>
    <w:bookmarkEnd w:id="121"/>
    <w:bookmarkStart w:id="12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22">
        <w:r>
          <w:rPr>
            <w:rStyle w:val="Hyperlink"/>
          </w:rPr>
          <w:t xml:space="preserve">https://doi.org/10.1023/A:1023374524254</w:t>
        </w:r>
      </w:hyperlink>
      <w:r>
        <w:t xml:space="preserve">.</w:t>
      </w:r>
    </w:p>
    <w:bookmarkEnd w:id="123"/>
    <w:bookmarkStart w:id="125"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24">
        <w:r>
          <w:rPr>
            <w:rStyle w:val="Hyperlink"/>
          </w:rPr>
          <w:t xml:space="preserve">https://doi.org/10.1577/1548-8446(1997)022%3C0006:IOWLUO%3E2.0.CO;2</w:t>
        </w:r>
      </w:hyperlink>
      <w:r>
        <w:t xml:space="preserve">.</w:t>
      </w:r>
    </w:p>
    <w:bookmarkEnd w:id="125"/>
    <w:bookmarkEnd w:id="12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01" Target="https://CRAN.R-project.org/package=quantregForest" TargetMode="External" /><Relationship Type="http://schemas.openxmlformats.org/officeDocument/2006/relationships/hyperlink" Id="rId85"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6"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3" Target="https://doi.org/10.1007/s10661-010-1385-8" TargetMode="External" /><Relationship Type="http://schemas.openxmlformats.org/officeDocument/2006/relationships/hyperlink" Id="rId76" Target="https://doi.org/10.1016/j.ecolind.2013.07.006" TargetMode="External" /><Relationship Type="http://schemas.openxmlformats.org/officeDocument/2006/relationships/hyperlink" Id="rId94" Target="https://doi.org/10.1016/j.scitotenv.2015.07.083" TargetMode="External" /><Relationship Type="http://schemas.openxmlformats.org/officeDocument/2006/relationships/hyperlink" Id="rId104" Target="https://doi.org/10.1016/j.watres.2004.09.002" TargetMode="External" /><Relationship Type="http://schemas.openxmlformats.org/officeDocument/2006/relationships/hyperlink" Id="rId122"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5" Target="https://doi.org/10.1046/j.1365-2427.2001.00758.x" TargetMode="External" /><Relationship Type="http://schemas.openxmlformats.org/officeDocument/2006/relationships/hyperlink" Id="rId87" Target="https://doi.org/10.1111/1752-1688.12372" TargetMode="External" /><Relationship Type="http://schemas.openxmlformats.org/officeDocument/2006/relationships/hyperlink" Id="rId111"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17"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2" Target="https://doi.org/10.1111/j.1752-1688.2011.00635.x" TargetMode="External" /><Relationship Type="http://schemas.openxmlformats.org/officeDocument/2006/relationships/hyperlink" Id="rId68" Target="https://doi.org/10.1146/annurev.ecolsys.35.120202.110122" TargetMode="External" /><Relationship Type="http://schemas.openxmlformats.org/officeDocument/2006/relationships/hyperlink" Id="rId89" Target="https://doi.org/10.1371/journal.pone.0130710" TargetMode="External" /><Relationship Type="http://schemas.openxmlformats.org/officeDocument/2006/relationships/hyperlink" Id="rId124" Target="https://doi.org/10.1577/1548-8446(1997)022%3C0006:IOWLUO%3E2.0.CO;2" TargetMode="External" /><Relationship Type="http://schemas.openxmlformats.org/officeDocument/2006/relationships/hyperlink" Id="rId10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01" Target="https://CRAN.R-project.org/package=quantregForest" TargetMode="External" /><Relationship Type="http://schemas.openxmlformats.org/officeDocument/2006/relationships/hyperlink" Id="rId85"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6"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3" Target="https://doi.org/10.1007/s10661-010-1385-8" TargetMode="External" /><Relationship Type="http://schemas.openxmlformats.org/officeDocument/2006/relationships/hyperlink" Id="rId76" Target="https://doi.org/10.1016/j.ecolind.2013.07.006" TargetMode="External" /><Relationship Type="http://schemas.openxmlformats.org/officeDocument/2006/relationships/hyperlink" Id="rId94" Target="https://doi.org/10.1016/j.scitotenv.2015.07.083" TargetMode="External" /><Relationship Type="http://schemas.openxmlformats.org/officeDocument/2006/relationships/hyperlink" Id="rId104" Target="https://doi.org/10.1016/j.watres.2004.09.002" TargetMode="External" /><Relationship Type="http://schemas.openxmlformats.org/officeDocument/2006/relationships/hyperlink" Id="rId122"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5" Target="https://doi.org/10.1046/j.1365-2427.2001.00758.x" TargetMode="External" /><Relationship Type="http://schemas.openxmlformats.org/officeDocument/2006/relationships/hyperlink" Id="rId87" Target="https://doi.org/10.1111/1752-1688.12372" TargetMode="External" /><Relationship Type="http://schemas.openxmlformats.org/officeDocument/2006/relationships/hyperlink" Id="rId111"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17"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2" Target="https://doi.org/10.1111/j.1752-1688.2011.00635.x" TargetMode="External" /><Relationship Type="http://schemas.openxmlformats.org/officeDocument/2006/relationships/hyperlink" Id="rId68" Target="https://doi.org/10.1146/annurev.ecolsys.35.120202.110122" TargetMode="External" /><Relationship Type="http://schemas.openxmlformats.org/officeDocument/2006/relationships/hyperlink" Id="rId89" Target="https://doi.org/10.1371/journal.pone.0130710" TargetMode="External" /><Relationship Type="http://schemas.openxmlformats.org/officeDocument/2006/relationships/hyperlink" Id="rId124" Target="https://doi.org/10.1577/1548-8446(1997)022%3C0006:IOWLUO%3E2.0.CO;2" TargetMode="External" /><Relationship Type="http://schemas.openxmlformats.org/officeDocument/2006/relationships/hyperlink" Id="rId108"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2018-05-17T00:18:46Z</dcterms:created>
  <dcterms:modified xsi:type="dcterms:W3CDTF">2018-05-17T00:18:46Z</dcterms:modified>
</cp:coreProperties>
</file>